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黑体" w:hAnsi="黑体" w:eastAsia="黑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highlight w:val="none"/>
          <w:u w:val="none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  <w:t>此次引才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eastAsia="zh-CN"/>
        </w:rPr>
        <w:t>企业简介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1.泉州城建供应链管理有限公司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简称“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城建供应链公司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）是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集团权属二级企业，主营供应链管理、建材物资贸易、外贸进出口、大宗商品贸易、新零售、储备粮油管理、仓储物流等业务。公司致力于服务民生、为企业提供供应链增值服务和保障我市储备粮油安全，努力实现持续、快速、健康增长，打造值得信赖的供应链综合服务提供商。其权属企业泉州市储备粮油管理有限公司，注册资金6.19亿元，由市本级和丰泽区、鲤城区、洛江区粮食企业共同出资成立，主营粮油储备业务，目前管理市、区两级储备粮油近13万吨。下属泉州市区中心粮库位于泉州市洛江区罗溪镇，是泉州市粮食系统建设史上最大的一个项目，占地面积433.34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2.泉州城建产业投资有限责任公司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（简称“城建产投公司”）是泉州城建集团权属企业，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注册资本10亿元。公司主要负责产业投资业务板块，是“集团国有资本运作及产业投资培育平台”，主营产业投资、商业保理、商业管理、投资基金和大宗贸易等业务。公司旗下管理权属企业商业保理公司、私募基金公司（筹），城建中城公司（控股）、城建商业管理公司（参股）等4家公司。围绕“投资+运营+金融服务”形成全链条业务体系，依托集团“AAA”金字招牌，发挥金融牌照作用，为产业投资赋能的同时，提高集团整体资本运营效率和资本回报，全力带动集团产融结合战略的可持续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A7C0F"/>
    <w:rsid w:val="634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2023-05-25T09:54:00Z</dcterms:created>
  <dc:creator>半夏染</dc:creator>
  <cp:lastModifiedBy>半夏染</cp:lastModifiedBy>
  <dcterms:modified xsi:type="dcterms:W3CDTF">2023-05-25T09:54:55Z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